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Трудов договор</w:t>
      </w:r>
      <w:bookmarkEnd w:id="0"/>
    </w:p>
    <w:p>
      <w:pPr>
        <w:pStyle w:val="Meta"/>
      </w:pPr>
      <w:r>
        <w:rPr>
          <w:rStyle w:val="MetaFont"/>
        </w:rPr>
        <w:t xml:space="preserve">№ ${_Номер_на_договора_}, сключен на основание ${_Правно_основание_} от Кодекса на труда (например чл. 67, ал. 1, т. 1 във връзка с чл. 70, ал. 1 - безсрочен със срок за изпитване; чл. 68, ал. 1, т. 1 - срочен за определен срок)</w:t>
      </w:r>
    </w:p>
    <w:p>
      <w:pPr/>
      <w:r>
        <w:rPr/>
        <w:t xml:space="preserve">Днес, </w:t>
      </w:r>
      <w:r>
        <w:rPr>
          <w:b w:val="1"/>
          <w:bCs w:val="1"/>
        </w:rPr>
        <w:t xml:space="preserve">${_Дата_на_документа:today:date_}</w:t>
      </w:r>
      <w:r>
        <w:rPr/>
        <w:t xml:space="preserve">, в ${_Място_на_подписване:place:text_}, между:</w:t>
      </w:r>
    </w:p>
    <w:p>
      <w:pPr/>
      <w:r>
        <w:rPr>
          <w:b w:val="1"/>
          <w:bCs w:val="1"/>
        </w:rPr>
        <w:t xml:space="preserve">${_Име_на_фирмата:company_name:text_}</w:t>
      </w:r>
      <w:r>
        <w:rPr/>
        <w:t xml:space="preserve">, ЕИК ${_ЕИК_на_фирмата:company_registration_number:text_}, със седалище и адрес на управление ${_Адрес_на_фирмата:company_address:text_}, представлявано от ${_Подписва_от_името_на_фирмата:company_representative:text_}, наричано по-долу „РАБОТОДАТЕЛ“,</w:t>
      </w:r>
    </w:p>
    <w:p>
      <w:pPr/>
      <w:r>
        <w:rPr/>
        <w:t xml:space="preserve">и</w:t>
      </w:r>
    </w:p>
    <w:p>
      <w:pPr/>
      <w:r>
        <w:rPr>
          <w:b w:val="1"/>
          <w:bCs w:val="1"/>
        </w:rPr>
        <w:t xml:space="preserve">${_Име_и_фамилия_на_служителя:employee_name:text_}</w:t>
      </w:r>
      <w:r>
        <w:rPr/>
        <w:t xml:space="preserve">, ЕГН / ЛНЧ ${_ЕГН_/_номер_на_документ_}, с постоянен адрес ${_Адрес_на_служителя_}, с образование и квалификация ${_Образование_и_квалификация_}, наричан/наричана по-долу „РАБОТНИК/СЛУЖИТЕЛ“,</w:t>
      </w:r>
    </w:p>
    <w:p>
      <w:pPr/>
      <w:r>
        <w:rPr/>
        <w:t xml:space="preserve">се сключи настоящият трудов договор, с който страните се споразумяха за следното:</w:t>
      </w:r>
    </w:p>
    <w:p>
      <w:pPr>
        <w:pStyle w:val="Heading2"/>
      </w:pPr>
      <w:bookmarkStart w:id="1" w:name="_Toc1"/>
      <w:r>
        <w:t>I. Предмет на договора. Място на работа</w:t>
      </w:r>
      <w:bookmarkEnd w:id="1"/>
    </w:p>
    <w:p>
      <w:pPr/>
      <w:r>
        <w:rPr/>
        <w:t xml:space="preserve">1. Работодателят възлага, а Работникът/Служителят приема да изпълнява длъжността </w:t>
      </w:r>
      <w:r>
        <w:rPr>
          <w:b w:val="1"/>
          <w:bCs w:val="1"/>
        </w:rPr>
        <w:t xml:space="preserve">${_Длъжност:job_title:text_}</w:t>
      </w:r>
      <w:r>
        <w:rPr/>
        <w:t xml:space="preserve">, код по НКПД ${_Код_по_НКПД_}, с характер на работата: ${_Основни_задължения::textarea_} Длъжностната характеристика се връчва на Работника/Служителя срещу подпис при сключването на договора (чл. 127, ал. 1, т. 4 от Кодекса на труда).</w:t>
      </w:r>
    </w:p>
    <w:p>
      <w:pPr/>
      <w:r>
        <w:rPr/>
        <w:t xml:space="preserve">2. Място на работа: </w:t>
      </w:r>
      <w:r>
        <w:rPr>
          <w:b w:val="1"/>
          <w:bCs w:val="1"/>
        </w:rPr>
        <w:t xml:space="preserve">${_Място_на_работа:workplace:text_}</w:t>
      </w:r>
      <w:r>
        <w:rPr/>
        <w:t xml:space="preserve"> (чл. 66, ал. 1, т. 1 от Кодекса на труда).</w:t>
      </w:r>
    </w:p>
    <w:p>
      <w:pPr>
        <w:pStyle w:val="Heading2"/>
      </w:pPr>
      <w:bookmarkStart w:id="2" w:name="_Toc2"/>
      <w:r>
        <w:t>II. Времетраене на договора. Срок за изпитване</w:t>
      </w:r>
      <w:bookmarkEnd w:id="2"/>
    </w:p>
    <w:p>
      <w:pPr/>
      <w:r>
        <w:rPr/>
        <w:t xml:space="preserve">3. Договорът се сключва като </w:t>
      </w:r>
      <w:r>
        <w:rPr>
          <w:b w:val="1"/>
          <w:bCs w:val="1"/>
        </w:rPr>
        <w:t xml:space="preserve">${_Вид_договор_}</w:t>
      </w:r>
      <w:r>
        <w:rPr/>
        <w:t xml:space="preserve"> (за неопределено време - чл. 67, ал. 1, т. 1, или срочен - чл. 68 от Кодекса на труда).</w:t>
      </w:r>
    </w:p>
    <w:p>
      <w:pPr/>
      <w:r>
        <w:rPr/>
        <w:t xml:space="preserve">4. Ако договорът е срочен, той е в сила до </w:t>
      </w:r>
      <w:r>
        <w:rPr>
          <w:b w:val="1"/>
          <w:bCs w:val="1"/>
        </w:rPr>
        <w:t xml:space="preserve">${_Крайна_дата::date_}</w:t>
      </w:r>
      <w:r>
        <w:rPr/>
        <w:t xml:space="preserve">. Основание по чл. 68, ал. 1 от Кодекса на труда и обстоятелства, които го налагат (чл. 68, ал. 3 и 4): ${_Основание_за_срочния_договор::textarea_}</w:t>
      </w:r>
    </w:p>
    <w:p>
      <w:pPr/>
      <w:r>
        <w:rPr/>
        <w:t xml:space="preserve">5. Страните уговарят срок за изпитване </w:t>
      </w:r>
      <w:r>
        <w:rPr>
          <w:b w:val="1"/>
          <w:bCs w:val="1"/>
        </w:rPr>
        <w:t xml:space="preserve">${_Изпитателен_срок_}</w:t>
      </w:r>
      <w:r>
        <w:rPr/>
        <w:t xml:space="preserve">, уговорен в полза на </w:t>
      </w:r>
      <w:r>
        <w:rPr>
          <w:b w:val="1"/>
          <w:bCs w:val="1"/>
        </w:rPr>
        <w:t xml:space="preserve">${_Изпитателен_срок_в_полза_на_}</w:t>
      </w:r>
      <w:r>
        <w:rPr/>
        <w:t xml:space="preserve"> (Работодателя, Работника/Служителя или двете страни; ако не е посочено, срокът се смята уговорен в полза на двете страни - чл. 70, ал. 2). Срокът за изпитване не може да е по-дълъг от 6 месеца, а при срочен договор за по-малко от една година - от 1 месец (чл. 70, ал. 1 от Кодекса на труда). До изтичането му страната, в чиято полза е уговорен, може да прекрати договора без предизвестие (чл. 71, ал. 1 от Кодекса на труда).</w:t>
      </w:r>
    </w:p>
    <w:p>
      <w:pPr>
        <w:pStyle w:val="Heading2"/>
      </w:pPr>
      <w:bookmarkStart w:id="3" w:name="_Toc3"/>
      <w:r>
        <w:t>III. Постъпване на работа</w:t>
      </w:r>
      <w:bookmarkEnd w:id="3"/>
    </w:p>
    <w:p>
      <w:pPr/>
      <w:r>
        <w:rPr/>
        <w:t xml:space="preserve">6. Работникът/Служителят постъпва на работа на </w:t>
      </w:r>
      <w:r>
        <w:rPr>
          <w:b w:val="1"/>
          <w:bCs w:val="1"/>
        </w:rPr>
        <w:t xml:space="preserve">${_Начална_дата::date_}</w:t>
      </w:r>
      <w:r>
        <w:rPr/>
        <w:t xml:space="preserve">. Преди постъпването Работодателят му предоставя подписан екземпляр от договора и копие от уведомлението по чл. 62, ал. 3 от Кодекса на труда, заверено от териториалната дирекция на Националната агенция за приходите (чл. 63, ал. 1). Постъпването на работа се удостоверява писмено (чл. 63, ал. 4). Ако Работникът/Служителят не постъпи на работа в едноседмичен срок от получаването на документите, освен ако това се дължи на независещи от него причини, се смята, че трудовото правоотношение не е възникнало (чл. 63, ал. 3 от Кодекса на труда).</w:t>
      </w:r>
    </w:p>
    <w:p>
      <w:pPr>
        <w:pStyle w:val="Heading2"/>
      </w:pPr>
      <w:bookmarkStart w:id="4" w:name="_Toc4"/>
      <w:r>
        <w:t>IV. Работно време</w:t>
      </w:r>
      <w:bookmarkEnd w:id="4"/>
    </w:p>
    <w:p>
      <w:pPr/>
      <w:r>
        <w:rPr/>
        <w:t xml:space="preserve">7. Работното време е </w:t>
      </w:r>
      <w:r>
        <w:rPr>
          <w:b w:val="1"/>
          <w:bCs w:val="1"/>
        </w:rPr>
        <w:t xml:space="preserve">${_Работно_време_}</w:t>
      </w:r>
      <w:r>
        <w:rPr/>
        <w:t xml:space="preserve"> (продължителност на работния ден и на работната седмица; нормалната продължителност е до 8 часа дневно при петдневна работна седмица и до 40 часа седмично - чл. 136 от Кодекса на труда). Началото, краят и разпределението на работното време и почивките се определят с правилника за вътрешния трудов ред (чл. 139). Извънреден труд се полага и заплаща само в предвидените от закона случаи.</w:t>
      </w:r>
    </w:p>
    <w:p>
      <w:pPr>
        <w:pStyle w:val="Heading2"/>
      </w:pPr>
      <w:bookmarkStart w:id="5" w:name="_Toc5"/>
      <w:r>
        <w:t>V. Трудово възнаграждение</w:t>
      </w:r>
      <w:bookmarkEnd w:id="5"/>
    </w:p>
    <w:p>
      <w:pPr/>
      <w:r>
        <w:rPr/>
        <w:t xml:space="preserve">8. Основното месечно трудово възнаграждение е </w:t>
      </w:r>
      <w:r>
        <w:rPr>
          <w:b w:val="1"/>
          <w:bCs w:val="1"/>
        </w:rPr>
        <w:t xml:space="preserve">${_Възнаграждение_} ${_Валута:currency:text_}</w:t>
      </w:r>
      <w:r>
        <w:rPr/>
        <w:t xml:space="preserve"> бруто, не по-ниско от установената за страната минимална работна заплата.</w:t>
      </w:r>
    </w:p>
    <w:p>
      <w:pPr/>
      <w:r>
        <w:rPr/>
        <w:t xml:space="preserve">9. Работникът/Служителят получава допълнително трудово възнаграждение за придобит трудов стаж и професионален опит в размер на </w:t>
      </w:r>
      <w:r>
        <w:rPr>
          <w:b w:val="1"/>
          <w:bCs w:val="1"/>
        </w:rPr>
        <w:t xml:space="preserve">${_Процент_за_трудов_стаж_и_опит_} %</w:t>
      </w:r>
      <w:r>
        <w:rPr/>
        <w:t xml:space="preserve"> върху основното възнаграждение за всяка година трудов стаж (не по-малко от 0,6 % - чл. 12 от Наредбата за структурата и организацията на работната заплата). Други допълнителни трудови възнаграждения с постоянен характер: ${_Други_допълнителни_възнаграждения_} (ако не са посочени, такива не се уговарят).</w:t>
      </w:r>
    </w:p>
    <w:p>
      <w:pPr/>
      <w:r>
        <w:rPr/>
        <w:t xml:space="preserve">10. Трудовото възнаграждение се изплаща ежемесечно, </w:t>
      </w:r>
      <w:r>
        <w:rPr>
          <w:b w:val="1"/>
          <w:bCs w:val="1"/>
        </w:rPr>
        <w:t xml:space="preserve">${_Ден_на_изплащане_}</w:t>
      </w:r>
      <w:r>
        <w:rPr/>
        <w:t xml:space="preserve">, по банкова сметка, посочена от Работника/Служителя (чл. 270 от Кодекса на труда).</w:t>
      </w:r>
    </w:p>
    <w:p>
      <w:pPr>
        <w:pStyle w:val="Heading2"/>
      </w:pPr>
      <w:bookmarkStart w:id="6" w:name="_Toc6"/>
      <w:r>
        <w:t>VI. Отпуск</w:t>
      </w:r>
      <w:bookmarkEnd w:id="6"/>
    </w:p>
    <w:p>
      <w:pPr/>
      <w:r>
        <w:rPr/>
        <w:t xml:space="preserve">11. Работникът/Служителят има право на основен платен годишен отпуск в размер на </w:t>
      </w:r>
      <w:r>
        <w:rPr>
          <w:b w:val="1"/>
          <w:bCs w:val="1"/>
        </w:rPr>
        <w:t xml:space="preserve">${_Дни_отпуск_годишно_}</w:t>
      </w:r>
      <w:r>
        <w:rPr/>
        <w:t xml:space="preserve"> работни дни (не по-малко от 20 работни дни - чл. 155, ал. 4 от Кодекса на труда), както и на удължения и допълнителните платени годишни отпуски, когато са предвидени в закон, в акт на Министерския съвет или в колективен трудов договор (чл. 155, ал. 5 и чл. 156). Отпускът се ползва по реда на чл. 172 - 176 от Кодекса на труда.</w:t>
      </w:r>
    </w:p>
    <w:p>
      <w:pPr>
        <w:pStyle w:val="Heading2"/>
      </w:pPr>
      <w:bookmarkStart w:id="7" w:name="_Toc7"/>
      <w:r>
        <w:t>VII. Прекратяване на договора</w:t>
      </w:r>
      <w:bookmarkEnd w:id="7"/>
    </w:p>
    <w:p>
      <w:pPr/>
      <w:r>
        <w:rPr/>
        <w:t xml:space="preserve">12. Договорът се прекратява на основанията и по реда, предвидени в Кодекса на труда.</w:t>
      </w:r>
    </w:p>
    <w:p>
      <w:pPr/>
      <w:r>
        <w:rPr/>
        <w:t xml:space="preserve">13. Срокът на предизвестие при прекратяване на договора е </w:t>
      </w:r>
      <w:r>
        <w:rPr>
          <w:b w:val="1"/>
          <w:bCs w:val="1"/>
        </w:rPr>
        <w:t xml:space="preserve">${_Срок_на_предизвестие_}</w:t>
      </w:r>
      <w:r>
        <w:rPr/>
        <w:t xml:space="preserve">, еднакъв и за двете страни (при безсрочен договор - не по-кратък от 30 дни и не по-дълъг от 3 месеца; при срочен договор - 3 месеца, но не повече от остатъка от срока - чл. 326, ал. 2 от Кодекса на труда).</w:t>
      </w:r>
    </w:p>
    <w:p>
      <w:pPr>
        <w:pStyle w:val="Heading2"/>
      </w:pPr>
      <w:bookmarkStart w:id="8" w:name="_Toc8"/>
      <w:r>
        <w:t>VIII. Други условия</w:t>
      </w:r>
      <w:bookmarkEnd w:id="8"/>
    </w:p>
    <w:p>
      <w:pPr/>
      <w:r>
        <w:rPr/>
        <w:t xml:space="preserve">14. Работникът/Служителят се осигурява за всички осигурени социални рискове по Кодекса за социално осигуряване и здравно по Закона за здравното осигуряване. Осигурителните вноски се разпределят между страните и се внасят по реда и в съотношението, определени в закона. Осигурителни институции са Националният осигурителен институт и Националната здравноосигурителна каса, а вноските се събират от Националната агенция за приходите.</w:t>
      </w:r>
    </w:p>
    <w:p>
      <w:pPr/>
      <w:r>
        <w:rPr/>
        <w:t xml:space="preserve">15. Когато Работодателят е длъжен по закон или по колективен трудов договор да осигури обучение за изпълнение на уговорената работа, обучението е за негова сметка, провежда се в рамките на работното време, доколкото е възможно, и се смята за работно време (чл. 228а от Кодекса на труда).</w:t>
      </w:r>
    </w:p>
    <w:p>
      <w:pPr/>
      <w:r>
        <w:rPr/>
        <w:t xml:space="preserve">16. При сключването на договора Работникът/Служителят се запознава с правилника за вътрешния трудов ред и с правилата за здравословни и безопасни условия на труд (чл. 127, ал. 1, т. 5 от Кодекса на труда) и преминава начален инструктаж по безопасност и здраве при работа преди постъпването на работа.</w:t>
      </w:r>
    </w:p>
    <w:p>
      <w:pPr/>
      <w:r>
        <w:rPr/>
        <w:t xml:space="preserve">17. Работникът/Служителят се задължава да пази търговската тайна и поверителната информация на Работодателя, да не я разгласява и да не я използва за свои или чужди цели, както по време на действие на договора, така и след прекратяването му (чл. 126, т. 9 от Кодекса на труда).</w:t>
      </w:r>
    </w:p>
    <w:p>
      <w:pPr/>
      <w:r>
        <w:rPr/>
        <w:t xml:space="preserve">18. Работодателят обработва личните данни на Работника/Служителя само за целите на трудовото и осигурителното правоотношение, в съответствие с Регламент (ЕС) 2016/679 и Закона за защита на личните данни, и ги съхранява в личното трудово досие по чл. 128б от Кодекса на труда.</w:t>
      </w:r>
    </w:p>
    <w:p>
      <w:pPr/>
      <w:r>
        <w:rPr/>
        <w:t xml:space="preserve">19. Изменение на условията по договора се извършва само с писмено допълнително споразумение между страните (чл. 119 от Кодекса на труда), за което Работодателят уведомява Националната агенция за приходите в тридневен срок (чл. 62, ал. 3). За всяка промяна в условията по чл. 66 Работодателят информира Работника/Служителя писмено най-късно до влизането ѝ в сила.</w:t>
      </w:r>
    </w:p>
    <w:p>
      <w:pPr/>
      <w:r>
        <w:rPr/>
        <w:t xml:space="preserve">20. За неуредените в договора въпроси се прилагат разпоредбите на Кодекса на труда и на действащото трудово и осигурително законодателство.</w:t>
      </w:r>
    </w:p>
    <w:p>
      <w:pPr/>
      <w:r>
        <w:rPr/>
        <w:t xml:space="preserve">21. Настоящият договор се състави и подписа в два еднообразни екземпляра - по един за всяка от страните.</w:t>
      </w:r>
    </w:p>
    <w:p/>
    <w:p/>
    <w:tbl>
      <w:tblGrid>
        <w:gridCol w:w="4500" w:type="dxa"/>
        <w:gridCol w:w="4500" w:type="dxa"/>
      </w:tblGrid>
      <w:tblPr>
        <w:tblW w:w="5000" w:type="pct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>
          <w:cantSplit w:val="1"/>
        </w:trPr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${_Подписва_от_името_на_фирмата:company_representative:text_}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РАБОТОДАТЕЛ - ${_Име_на_фирмата:company_name:text_} (подпис, печат)</w:t>
            </w:r>
          </w:p>
        </w:tc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${_Име_и_фамилия_на_служителя:employee_name:text_}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РАБОТНИК/СЛУЖИТЕЛ (подпис); получих екземпляр от договора, длъжностна характеристика и копие от уведомлението по чл. 62, ал. 3 КТ</w:t>
            </w:r>
          </w:p>
        </w:tc>
      </w:tr>
    </w:tbl>
    <w:sectPr>
      <w:footerReference w:type="default" r:id="rId7"/>
      <w:pgSz w:orient="portrait" w:w="11905.511811023622" w:h="16837.79527559055"/>
      <w:pgMar w:top="1250" w:right="1300" w:bottom="1250" w:left="1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spacing w:after="0"/>
    </w:pPr>
    <w:r>
      <w:rPr>
        <w:color w:val="9CA3AF"/>
        <w:sz w:val="16"/>
        <w:szCs w:val="16"/>
      </w:rPr>
      <w:t xml:space="preserve">Документ, създаден в ATS Jober - jober.bg   ·   </w:t>
    </w:r>
    <w:r>
      <w:fldChar w:fldCharType="begin"/>
    </w:r>
    <w:r>
      <w:rPr>
        <w:color w:val="9CA3AF"/>
        <w:sz w:val="16"/>
        <w:szCs w:val="16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bg-BG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rlito" w:hAnsi="Carlito" w:eastAsia="Arial" w:cs="Carlito"/>
        <w:color w:val="000000"/>
        <w:sz w:val="21"/>
        <w:szCs w:val="21"/>
        <w:lang w:val="bg-BG"/>
      </w:rPr>
    </w:rPrDefault>
  </w:docDefaults>
  <w:style w:type="paragraph" w:default="1" w:styleId="Normal">
    <w:name w:val="Normal"/>
    <w:pPr>
      <w:spacing w:after="120" w:line="276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before="120" w:after="240"/>
    </w:pPr>
    <w:rPr>
      <w:color w:val="0D1527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keepNext w:val="1"/>
      <w:spacing w:before="280" w:after="80"/>
    </w:pPr>
    <w:rPr>
      <w:color w:val="0D1527"/>
      <w:sz w:val="24"/>
      <w:szCs w:val="24"/>
      <w:b w:val="1"/>
      <w:bCs w:val="1"/>
    </w:rPr>
  </w:style>
  <w:style w:type="paragraph" w:customStyle="1" w:styleId="Meta">
    <w:name w:val="Meta"/>
    <w:basedOn w:val="Normal"/>
    <w:pPr>
      <w:spacing w:after="160"/>
    </w:pPr>
  </w:style>
  <w:style w:type="character">
    <w:name w:val="MetaFont"/>
    <w:rPr>
      <w:color w:val="6B7280"/>
      <w:sz w:val="19"/>
      <w:szCs w:val="19"/>
    </w:rPr>
  </w:style>
  <w:style w:type="character">
    <w:name w:val="Caption"/>
    <w:rPr>
      <w:color w:val="6B7280"/>
      <w:sz w:val="17"/>
      <w:szCs w:val="17"/>
    </w:rPr>
  </w:style>
  <w:style w:type="table" w:customStyle="1" w:styleId="DocTable">
    <w:name w:val="DocTable"/>
    <w:uiPriority w:val="99"/>
    <w:tblPr>
      <w:tblW w:w="5000" w:type="pct"/>
      <w:tblLayout w:type="autofit"/>
      <w:tblCellMar>
        <w:top w:w="90" w:type="dxa"/>
        <w:left w:w="90" w:type="dxa"/>
        <w:right w:w="90" w:type="dxa"/>
        <w:bottom w:w="90" w:type="dxa"/>
      </w:tblCellMar>
      <w:tblBorders>
        <w:top w:val="single" w:sz="6" w:color="C8CCD4"/>
        <w:left w:val="single" w:sz="6" w:color="C8CCD4"/>
        <w:right w:val="single" w:sz="6" w:color="C8CCD4"/>
        <w:bottom w:val="single" w:sz="6" w:color="C8CCD4"/>
        <w:insideH w:val="single" w:sz="6" w:color="C8CCD4"/>
        <w:insideV w:val="single" w:sz="6" w:color="C8CCD4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2026-11-07T23:59:49+00:00</dcterms:created>
  <dcterms:modified xsi:type="dcterms:W3CDTF">2026-11-07T23:59:49+00:00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